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79206" w14:textId="77777777" w:rsidR="000E013A" w:rsidRPr="000E013A" w:rsidRDefault="000E013A" w:rsidP="00F648D9">
      <w:pPr>
        <w:spacing w:after="0"/>
        <w:jc w:val="center"/>
        <w:rPr>
          <w:rFonts w:ascii="Arial" w:hAnsi="Arial" w:cs="Arial"/>
          <w:b/>
          <w:sz w:val="28"/>
          <w:szCs w:val="28"/>
        </w:rPr>
      </w:pPr>
      <w:r w:rsidRPr="000E013A">
        <w:rPr>
          <w:rFonts w:ascii="Arial" w:hAnsi="Arial" w:cs="Arial"/>
          <w:b/>
          <w:sz w:val="28"/>
          <w:szCs w:val="28"/>
        </w:rPr>
        <w:t>Responsible Conduct of Research</w:t>
      </w:r>
    </w:p>
    <w:p w14:paraId="5B49B3C3" w14:textId="77777777" w:rsidR="000E013A" w:rsidRDefault="000E013A" w:rsidP="00F648D9">
      <w:pPr>
        <w:spacing w:after="0"/>
        <w:jc w:val="center"/>
        <w:rPr>
          <w:rFonts w:ascii="Arial" w:hAnsi="Arial" w:cs="Arial"/>
          <w:i/>
        </w:rPr>
      </w:pPr>
    </w:p>
    <w:p w14:paraId="358239E6" w14:textId="77777777" w:rsidR="00E40823" w:rsidRDefault="00E40823" w:rsidP="007311C6">
      <w:pPr>
        <w:spacing w:after="0"/>
        <w:jc w:val="right"/>
        <w:rPr>
          <w:rFonts w:ascii="Arial" w:hAnsi="Arial" w:cs="Arial"/>
          <w:sz w:val="18"/>
          <w:szCs w:val="18"/>
        </w:rPr>
      </w:pPr>
      <w:bookmarkStart w:id="0" w:name="_GoBack"/>
      <w:bookmarkEnd w:id="0"/>
    </w:p>
    <w:p w14:paraId="5FF40245" w14:textId="77777777" w:rsidR="00E40823" w:rsidRDefault="00E40823" w:rsidP="007311C6">
      <w:pPr>
        <w:spacing w:after="0"/>
        <w:jc w:val="right"/>
        <w:rPr>
          <w:rFonts w:ascii="Arial" w:hAnsi="Arial" w:cs="Arial"/>
          <w:sz w:val="18"/>
          <w:szCs w:val="18"/>
        </w:rPr>
      </w:pPr>
    </w:p>
    <w:p w14:paraId="2F08097A" w14:textId="77777777" w:rsidR="00E40823" w:rsidRDefault="00E40823" w:rsidP="007311C6">
      <w:pPr>
        <w:spacing w:after="0"/>
        <w:jc w:val="right"/>
        <w:rPr>
          <w:rFonts w:ascii="Arial" w:hAnsi="Arial" w:cs="Arial"/>
          <w:sz w:val="18"/>
          <w:szCs w:val="18"/>
        </w:rPr>
      </w:pPr>
    </w:p>
    <w:p w14:paraId="62606330" w14:textId="77777777" w:rsidR="00652481" w:rsidRPr="007311C6" w:rsidRDefault="00652481" w:rsidP="007311C6">
      <w:pPr>
        <w:spacing w:after="0"/>
        <w:jc w:val="right"/>
        <w:rPr>
          <w:rFonts w:ascii="Arial" w:hAnsi="Arial" w:cs="Arial"/>
          <w:sz w:val="18"/>
          <w:szCs w:val="18"/>
        </w:rPr>
      </w:pPr>
    </w:p>
    <w:p w14:paraId="26CA086C" w14:textId="77777777" w:rsidR="00F648D9" w:rsidRDefault="00F648D9" w:rsidP="00EB2F64">
      <w:pPr>
        <w:spacing w:after="0"/>
        <w:rPr>
          <w:rFonts w:ascii="Arial" w:hAnsi="Arial" w:cs="Arial"/>
          <w:b/>
          <w:u w:val="single"/>
        </w:rPr>
      </w:pPr>
      <w:r w:rsidRPr="000C3217">
        <w:rPr>
          <w:rFonts w:ascii="Arial" w:hAnsi="Arial" w:cs="Arial"/>
          <w:b/>
          <w:u w:val="single"/>
        </w:rPr>
        <w:t>Preface</w:t>
      </w:r>
      <w:r w:rsidR="003136C4" w:rsidRPr="000C3217">
        <w:rPr>
          <w:rFonts w:ascii="Arial" w:hAnsi="Arial" w:cs="Arial"/>
          <w:b/>
          <w:u w:val="single"/>
        </w:rPr>
        <w:t>/Background</w:t>
      </w:r>
    </w:p>
    <w:p w14:paraId="2FB1E4DD" w14:textId="77777777" w:rsidR="00E40823" w:rsidRPr="000C3217" w:rsidRDefault="00E40823" w:rsidP="00EB2F64">
      <w:pPr>
        <w:spacing w:after="0"/>
        <w:rPr>
          <w:rFonts w:ascii="Arial" w:hAnsi="Arial" w:cs="Arial"/>
          <w:b/>
          <w:u w:val="single"/>
        </w:rPr>
      </w:pPr>
    </w:p>
    <w:p w14:paraId="56A5ACA7" w14:textId="77777777" w:rsidR="003136C4" w:rsidRPr="00F573D9" w:rsidRDefault="003136C4" w:rsidP="00EB2F64">
      <w:pPr>
        <w:spacing w:after="0"/>
        <w:rPr>
          <w:rFonts w:ascii="Arial" w:hAnsi="Arial" w:cs="Arial"/>
        </w:rPr>
      </w:pPr>
      <w:r w:rsidRPr="00F573D9">
        <w:rPr>
          <w:rFonts w:ascii="Arial" w:hAnsi="Arial" w:cs="Arial"/>
        </w:rPr>
        <w:t xml:space="preserve">The public and regulatory demand for accountability has increased dramatically in the last 20 years. However, regulatory history has largely been as a reaction to abuses and scandals.  </w:t>
      </w:r>
    </w:p>
    <w:p w14:paraId="2CDD6F9D" w14:textId="77777777" w:rsidR="003136C4" w:rsidRPr="00F573D9" w:rsidRDefault="003136C4" w:rsidP="003136C4">
      <w:pPr>
        <w:rPr>
          <w:rFonts w:ascii="Arial" w:hAnsi="Arial" w:cs="Arial"/>
        </w:rPr>
      </w:pPr>
      <w:r w:rsidRPr="00F573D9">
        <w:rPr>
          <w:rFonts w:ascii="Arial" w:hAnsi="Arial" w:cs="Arial"/>
        </w:rPr>
        <w:t xml:space="preserve">Regulation of human subjects research began as an outgrowth of Nazi war crimes tribunals (1940’s), and a subsequent series of public outcries about abuse of research participants in the early 1960’s to mid 1970’s. Current practices </w:t>
      </w:r>
      <w:r w:rsidR="00F573D9" w:rsidRPr="00F573D9">
        <w:rPr>
          <w:rFonts w:ascii="Arial" w:hAnsi="Arial" w:cs="Arial"/>
        </w:rPr>
        <w:t xml:space="preserve">on ethical standards concerning human participants in research </w:t>
      </w:r>
      <w:r w:rsidRPr="00F573D9">
        <w:rPr>
          <w:rFonts w:ascii="Arial" w:hAnsi="Arial" w:cs="Arial"/>
        </w:rPr>
        <w:t xml:space="preserve">were first codified into </w:t>
      </w:r>
      <w:hyperlink r:id="rId7" w:history="1">
        <w:r w:rsidRPr="009322CC">
          <w:rPr>
            <w:rStyle w:val="Hyperlink"/>
            <w:rFonts w:ascii="Arial" w:hAnsi="Arial" w:cs="Arial"/>
          </w:rPr>
          <w:t>law and regulation</w:t>
        </w:r>
      </w:hyperlink>
      <w:r w:rsidRPr="00F573D9">
        <w:rPr>
          <w:rFonts w:ascii="Arial" w:hAnsi="Arial" w:cs="Arial"/>
        </w:rPr>
        <w:t xml:space="preserve"> in 1974. Over 50 years of public debate on animal rights and welfare led to the 1966 Animal Welfare Act, and the </w:t>
      </w:r>
      <w:hyperlink r:id="rId8" w:history="1">
        <w:r w:rsidRPr="00F573D9">
          <w:rPr>
            <w:rStyle w:val="Hyperlink"/>
            <w:rFonts w:ascii="Arial" w:hAnsi="Arial" w:cs="Arial"/>
          </w:rPr>
          <w:t xml:space="preserve">Health Research Extension Act of 1985 </w:t>
        </w:r>
      </w:hyperlink>
      <w:r w:rsidRPr="00F573D9">
        <w:rPr>
          <w:rFonts w:ascii="Arial" w:hAnsi="Arial" w:cs="Arial"/>
        </w:rPr>
        <w:t xml:space="preserve"> provided the legislative mandate for the </w:t>
      </w:r>
      <w:hyperlink r:id="rId9" w:history="1">
        <w:r w:rsidRPr="00F573D9">
          <w:rPr>
            <w:rStyle w:val="Hyperlink"/>
            <w:rFonts w:ascii="Arial" w:hAnsi="Arial" w:cs="Arial"/>
          </w:rPr>
          <w:t>PHS policy</w:t>
        </w:r>
      </w:hyperlink>
      <w:r w:rsidRPr="00F573D9">
        <w:rPr>
          <w:rFonts w:ascii="Arial" w:hAnsi="Arial" w:cs="Arial"/>
        </w:rPr>
        <w:t xml:space="preserve"> pertaining explicitly to research and teaching. </w:t>
      </w:r>
      <w:r w:rsidRPr="00F573D9">
        <w:rPr>
          <w:rFonts w:ascii="Arial" w:hAnsi="Arial" w:cs="Arial"/>
          <w:color w:val="2D2D2D"/>
        </w:rPr>
        <w:t>Research misconduct came under public scrutiny in the 1970s and early 1980s, eventually leading to regulation. This was followed in the 1990s by regulation pertaining to institutional responsibilities for management of investigators’ conflicts of interest.</w:t>
      </w:r>
      <w:r w:rsidRPr="00F573D9">
        <w:rPr>
          <w:rFonts w:ascii="Arial" w:hAnsi="Arial" w:cs="Arial"/>
        </w:rPr>
        <w:t xml:space="preserve"> </w:t>
      </w:r>
    </w:p>
    <w:p w14:paraId="460FB7EC" w14:textId="77777777" w:rsidR="003136C4" w:rsidRDefault="003136C4" w:rsidP="003136C4">
      <w:pPr>
        <w:rPr>
          <w:rFonts w:ascii="Arial" w:hAnsi="Arial" w:cs="Arial"/>
        </w:rPr>
      </w:pPr>
      <w:r w:rsidRPr="00F573D9">
        <w:rPr>
          <w:rFonts w:ascii="Arial" w:hAnsi="Arial" w:cs="Arial"/>
        </w:rPr>
        <w:t>In 2000, NIH began to define “Responsible Conduct of Research” more broadly and holistically, by announcing a policy requiring that all “research staff” receive complete training in 9 areas of research responsibility by October 1, 2003. Following considerable controversy, the ORI policy was officially suspended in February, 2001.</w:t>
      </w:r>
      <w:hyperlink r:id="rId10" w:history="1">
        <w:r w:rsidRPr="009322CC">
          <w:rPr>
            <w:rStyle w:val="Hyperlink"/>
            <w:rFonts w:ascii="Arial" w:hAnsi="Arial" w:cs="Arial"/>
          </w:rPr>
          <w:t xml:space="preserve"> ORI</w:t>
        </w:r>
      </w:hyperlink>
      <w:r w:rsidRPr="00F573D9">
        <w:rPr>
          <w:rFonts w:ascii="Arial" w:hAnsi="Arial" w:cs="Arial"/>
        </w:rPr>
        <w:t xml:space="preserve"> </w:t>
      </w:r>
      <w:r w:rsidR="009322CC">
        <w:rPr>
          <w:rFonts w:ascii="Arial" w:hAnsi="Arial" w:cs="Arial"/>
        </w:rPr>
        <w:t xml:space="preserve">continues </w:t>
      </w:r>
      <w:r w:rsidRPr="00F573D9">
        <w:rPr>
          <w:rFonts w:ascii="Arial" w:hAnsi="Arial" w:cs="Arial"/>
        </w:rPr>
        <w:t>to advocate for broad-based research ethics training and sponsors training programs and development of training materials.</w:t>
      </w:r>
      <w:r w:rsidR="00D77C31" w:rsidRPr="00D77C31">
        <w:t xml:space="preserve"> </w:t>
      </w:r>
    </w:p>
    <w:p w14:paraId="640FA310" w14:textId="77777777" w:rsidR="003136C4" w:rsidRPr="00F573D9" w:rsidRDefault="003136C4" w:rsidP="003136C4">
      <w:pPr>
        <w:rPr>
          <w:rFonts w:ascii="Arial" w:hAnsi="Arial" w:cs="Arial"/>
        </w:rPr>
      </w:pPr>
      <w:r w:rsidRPr="00F573D9">
        <w:rPr>
          <w:rFonts w:ascii="Arial" w:hAnsi="Arial" w:cs="Arial"/>
        </w:rPr>
        <w:t xml:space="preserve"> In 2001, NIH began requiring RCR training for all NRSA training grant trainees, requiring grantee institutions to submit their training plan for review prior to issuance of an award.  </w:t>
      </w:r>
      <w:r w:rsidR="00F573D9" w:rsidRPr="00F573D9">
        <w:rPr>
          <w:rFonts w:ascii="Arial" w:hAnsi="Arial" w:cs="Arial"/>
        </w:rPr>
        <w:t>Then t</w:t>
      </w:r>
      <w:r w:rsidRPr="00F573D9">
        <w:rPr>
          <w:rFonts w:ascii="Arial" w:hAnsi="Arial" w:cs="Arial"/>
        </w:rPr>
        <w:t xml:space="preserve">he 2007 America COMPETES Act, </w:t>
      </w:r>
      <w:r w:rsidRPr="00F573D9">
        <w:rPr>
          <w:rFonts w:ascii="Arial" w:hAnsi="Arial" w:cs="Arial"/>
          <w:u w:val="single"/>
        </w:rPr>
        <w:t xml:space="preserve">requires </w:t>
      </w:r>
      <w:r w:rsidRPr="00F573D9">
        <w:rPr>
          <w:rFonts w:ascii="Arial" w:hAnsi="Arial" w:cs="Arial"/>
        </w:rPr>
        <w:t xml:space="preserve">that </w:t>
      </w:r>
    </w:p>
    <w:p w14:paraId="46EF7DD8" w14:textId="77777777" w:rsidR="00D77C31" w:rsidRPr="00771BDE" w:rsidRDefault="003136C4" w:rsidP="00D77C31">
      <w:pPr>
        <w:ind w:left="720" w:right="900"/>
        <w:rPr>
          <w:i/>
        </w:rPr>
      </w:pPr>
      <w:r w:rsidRPr="00771BDE">
        <w:t>“</w:t>
      </w:r>
      <w:r w:rsidRPr="00771BDE">
        <w:rPr>
          <w:i/>
        </w:rPr>
        <w:t>Institutions that apply for financial assistance … for science and engineering research or education [from the National Science Foundation] should include a plan in their grant proposals for appropriate training and oversight in the responsible and ethical conduct of research to undergraduate students, graduate students, and postdoctoral researchers who will participate in the proposed research project.”</w:t>
      </w:r>
    </w:p>
    <w:p w14:paraId="6CBBA9EC" w14:textId="77777777" w:rsidR="003136C4" w:rsidRDefault="00F573D9" w:rsidP="00835828">
      <w:pPr>
        <w:ind w:right="900"/>
        <w:rPr>
          <w:rFonts w:ascii="Arial" w:hAnsi="Arial" w:cs="Arial"/>
        </w:rPr>
      </w:pPr>
      <w:r w:rsidRPr="00F573D9">
        <w:rPr>
          <w:rFonts w:ascii="Arial" w:hAnsi="Arial" w:cs="Arial"/>
        </w:rPr>
        <w:t>Clearly</w:t>
      </w:r>
      <w:r w:rsidR="001963DD">
        <w:rPr>
          <w:rFonts w:ascii="Arial" w:hAnsi="Arial" w:cs="Arial"/>
        </w:rPr>
        <w:t>,</w:t>
      </w:r>
      <w:r w:rsidR="00CF7566">
        <w:rPr>
          <w:rFonts w:ascii="Arial" w:hAnsi="Arial" w:cs="Arial"/>
        </w:rPr>
        <w:t xml:space="preserve"> requirements from </w:t>
      </w:r>
      <w:r w:rsidR="007311C6">
        <w:rPr>
          <w:rFonts w:ascii="Arial" w:hAnsi="Arial" w:cs="Arial"/>
        </w:rPr>
        <w:t xml:space="preserve">all </w:t>
      </w:r>
      <w:r w:rsidR="00CF7566">
        <w:rPr>
          <w:rFonts w:ascii="Arial" w:hAnsi="Arial" w:cs="Arial"/>
        </w:rPr>
        <w:t xml:space="preserve">federal agencies </w:t>
      </w:r>
      <w:r w:rsidRPr="00F573D9">
        <w:rPr>
          <w:rFonts w:ascii="Arial" w:hAnsi="Arial" w:cs="Arial"/>
        </w:rPr>
        <w:t>for a comprehensive institutional plan for RCR training are not very far away.</w:t>
      </w:r>
      <w:r w:rsidR="00F86502">
        <w:rPr>
          <w:rFonts w:ascii="Arial" w:hAnsi="Arial" w:cs="Arial"/>
        </w:rPr>
        <w:t xml:space="preserve">  </w:t>
      </w:r>
    </w:p>
    <w:p w14:paraId="7672B67F" w14:textId="77777777" w:rsidR="00E40823" w:rsidRDefault="00E40823" w:rsidP="00835828">
      <w:pPr>
        <w:ind w:right="900"/>
        <w:rPr>
          <w:rFonts w:ascii="Arial" w:hAnsi="Arial" w:cs="Arial"/>
        </w:rPr>
      </w:pPr>
    </w:p>
    <w:p w14:paraId="29D01867" w14:textId="77777777" w:rsidR="00E40823" w:rsidRDefault="00E40823" w:rsidP="00835828">
      <w:pPr>
        <w:ind w:right="900"/>
        <w:rPr>
          <w:rFonts w:ascii="Arial" w:hAnsi="Arial" w:cs="Arial"/>
        </w:rPr>
      </w:pPr>
    </w:p>
    <w:p w14:paraId="2F450168" w14:textId="77777777" w:rsidR="00E40823" w:rsidRPr="00F573D9" w:rsidRDefault="00E40823" w:rsidP="00835828">
      <w:pPr>
        <w:ind w:right="900"/>
        <w:rPr>
          <w:rFonts w:ascii="Arial" w:hAnsi="Arial" w:cs="Arial"/>
          <w:b/>
          <w:sz w:val="32"/>
          <w:szCs w:val="32"/>
          <w:u w:val="single"/>
        </w:rPr>
      </w:pPr>
    </w:p>
    <w:p w14:paraId="0553D265" w14:textId="77777777" w:rsidR="00E40823" w:rsidRDefault="00E40823" w:rsidP="00EB2F64">
      <w:pPr>
        <w:spacing w:after="0"/>
        <w:rPr>
          <w:rFonts w:ascii="Arial" w:hAnsi="Arial" w:cs="Arial"/>
          <w:b/>
          <w:u w:val="single"/>
        </w:rPr>
      </w:pPr>
    </w:p>
    <w:p w14:paraId="7BBB1779" w14:textId="77777777" w:rsidR="000E013A" w:rsidRDefault="000E013A" w:rsidP="00EB2F64">
      <w:pPr>
        <w:spacing w:after="0"/>
        <w:rPr>
          <w:rFonts w:ascii="Arial" w:hAnsi="Arial" w:cs="Arial"/>
          <w:b/>
          <w:u w:val="single"/>
        </w:rPr>
      </w:pPr>
      <w:r w:rsidRPr="000E013A">
        <w:rPr>
          <w:rFonts w:ascii="Arial" w:hAnsi="Arial" w:cs="Arial"/>
          <w:b/>
          <w:u w:val="single"/>
        </w:rPr>
        <w:lastRenderedPageBreak/>
        <w:t xml:space="preserve">Core Areas of responsible research practices </w:t>
      </w:r>
    </w:p>
    <w:p w14:paraId="5380724B" w14:textId="77777777" w:rsidR="00E40823" w:rsidRPr="000E013A" w:rsidRDefault="00E40823" w:rsidP="00EB2F64">
      <w:pPr>
        <w:spacing w:after="0"/>
        <w:rPr>
          <w:rFonts w:ascii="Arial" w:hAnsi="Arial" w:cs="Arial"/>
          <w:b/>
          <w:u w:val="single"/>
        </w:rPr>
      </w:pPr>
    </w:p>
    <w:p w14:paraId="01AD9279" w14:textId="77777777" w:rsidR="000E013A" w:rsidRDefault="000E013A" w:rsidP="000E013A">
      <w:pPr>
        <w:spacing w:after="0"/>
        <w:ind w:firstLine="720"/>
        <w:rPr>
          <w:rFonts w:ascii="Arial" w:hAnsi="Arial" w:cs="Arial"/>
        </w:rPr>
      </w:pPr>
      <w:r>
        <w:rPr>
          <w:rFonts w:ascii="Arial" w:hAnsi="Arial" w:cs="Arial"/>
        </w:rPr>
        <w:t xml:space="preserve">--as </w:t>
      </w:r>
      <w:r w:rsidR="00CF7566">
        <w:rPr>
          <w:rFonts w:ascii="Arial" w:hAnsi="Arial" w:cs="Arial"/>
        </w:rPr>
        <w:t xml:space="preserve">identified and </w:t>
      </w:r>
      <w:r>
        <w:rPr>
          <w:rFonts w:ascii="Arial" w:hAnsi="Arial" w:cs="Arial"/>
        </w:rPr>
        <w:t>defined by US Office of Research Integrity</w:t>
      </w:r>
      <w:r w:rsidR="00F86502">
        <w:rPr>
          <w:rFonts w:ascii="Arial" w:hAnsi="Arial" w:cs="Arial"/>
        </w:rPr>
        <w:t xml:space="preserve"> (ORI)</w:t>
      </w:r>
    </w:p>
    <w:p w14:paraId="7AD8DCA8" w14:textId="77777777" w:rsidR="00315503" w:rsidRPr="00315503" w:rsidRDefault="00315503" w:rsidP="00315503">
      <w:pPr>
        <w:spacing w:after="0"/>
        <w:rPr>
          <w:rFonts w:ascii="Arial" w:hAnsi="Arial" w:cs="Arial"/>
        </w:rPr>
      </w:pPr>
    </w:p>
    <w:p w14:paraId="6C961BC8"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Data Management</w:t>
      </w:r>
      <w:r w:rsidR="00315503">
        <w:rPr>
          <w:rFonts w:ascii="Arial" w:hAnsi="Arial" w:cs="Arial"/>
        </w:rPr>
        <w:t xml:space="preserve"> – practices related to collection, storage, protection, ownership and sharing of data.</w:t>
      </w:r>
    </w:p>
    <w:p w14:paraId="55B4B713"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Conflict of Interest/Commitment</w:t>
      </w:r>
      <w:r w:rsidR="00315503">
        <w:rPr>
          <w:rFonts w:ascii="Arial" w:hAnsi="Arial" w:cs="Arial"/>
        </w:rPr>
        <w:t xml:space="preserve"> – standards to ensure there is no reasonable expectation that design, conduct or reporting of research will be biased by any conflicting financial interest of a researcher.</w:t>
      </w:r>
    </w:p>
    <w:p w14:paraId="10E031A4"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Human Subjects</w:t>
      </w:r>
      <w:r w:rsidR="00315503">
        <w:rPr>
          <w:rFonts w:ascii="Arial" w:hAnsi="Arial" w:cs="Arial"/>
        </w:rPr>
        <w:t xml:space="preserve"> – regulation of research using human participants to ensure risks do not outweigh benefits and that the rights of the participants are respected.</w:t>
      </w:r>
    </w:p>
    <w:p w14:paraId="03DD1CF9"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Animal Welfare</w:t>
      </w:r>
      <w:r w:rsidR="00315503">
        <w:rPr>
          <w:rFonts w:ascii="Arial" w:hAnsi="Arial" w:cs="Arial"/>
        </w:rPr>
        <w:t xml:space="preserve"> – standards for the humane care and use of animals in teaching and research.</w:t>
      </w:r>
    </w:p>
    <w:p w14:paraId="54AD3F5E"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Research Misconduct</w:t>
      </w:r>
      <w:r w:rsidR="00315503">
        <w:rPr>
          <w:rFonts w:ascii="Arial" w:hAnsi="Arial" w:cs="Arial"/>
        </w:rPr>
        <w:t xml:space="preserve"> – fabrication, falsification or plagiarism in proposing, performing or reviewing research or in reporting research results.</w:t>
      </w:r>
    </w:p>
    <w:p w14:paraId="1564DADC"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Publication Practices</w:t>
      </w:r>
      <w:r w:rsidR="00D77C31" w:rsidRPr="00315503">
        <w:rPr>
          <w:rFonts w:ascii="Arial" w:hAnsi="Arial" w:cs="Arial"/>
          <w:i/>
        </w:rPr>
        <w:t xml:space="preserve"> and Responsible Authorship</w:t>
      </w:r>
      <w:r w:rsidR="00315503">
        <w:rPr>
          <w:rFonts w:ascii="Arial" w:hAnsi="Arial" w:cs="Arial"/>
        </w:rPr>
        <w:t xml:space="preserve"> – assurances that research results preserve the public trust and protect the public health.</w:t>
      </w:r>
    </w:p>
    <w:p w14:paraId="592CD800"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Mentor/Trainee Responsibilities</w:t>
      </w:r>
      <w:r w:rsidR="00315503">
        <w:rPr>
          <w:rFonts w:ascii="Arial" w:hAnsi="Arial" w:cs="Arial"/>
        </w:rPr>
        <w:t xml:space="preserve"> – the social foundation of research as an essential element of research training which guides research conduct, management and ethics.</w:t>
      </w:r>
    </w:p>
    <w:p w14:paraId="28676D0A"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Peer Review</w:t>
      </w:r>
      <w:r w:rsidR="00315503">
        <w:rPr>
          <w:rFonts w:ascii="Arial" w:hAnsi="Arial" w:cs="Arial"/>
        </w:rPr>
        <w:t xml:space="preserve"> – assurance of accuracy and significance of published reports of findings and protection for the reputations of authors.</w:t>
      </w:r>
    </w:p>
    <w:p w14:paraId="22CEE7D6" w14:textId="77777777" w:rsidR="000E013A" w:rsidRPr="00D77C31" w:rsidRDefault="000E013A" w:rsidP="00D77C31">
      <w:pPr>
        <w:pStyle w:val="ListParagraph"/>
        <w:numPr>
          <w:ilvl w:val="0"/>
          <w:numId w:val="3"/>
        </w:numPr>
        <w:spacing w:after="0"/>
        <w:rPr>
          <w:rFonts w:ascii="Arial" w:hAnsi="Arial" w:cs="Arial"/>
        </w:rPr>
      </w:pPr>
      <w:r w:rsidRPr="00315503">
        <w:rPr>
          <w:rFonts w:ascii="Arial" w:hAnsi="Arial" w:cs="Arial"/>
          <w:i/>
        </w:rPr>
        <w:t>Collaborative Science</w:t>
      </w:r>
      <w:r w:rsidR="00D77C31" w:rsidRPr="00315503">
        <w:rPr>
          <w:rFonts w:ascii="Arial" w:hAnsi="Arial" w:cs="Arial"/>
          <w:i/>
        </w:rPr>
        <w:t xml:space="preserve"> and the Resolution of Disputes</w:t>
      </w:r>
      <w:r w:rsidR="00315503">
        <w:rPr>
          <w:rFonts w:ascii="Arial" w:hAnsi="Arial" w:cs="Arial"/>
        </w:rPr>
        <w:t xml:space="preserve"> – guidance for shared “ownership,” responsibilities and (perhaps) funding for common project.</w:t>
      </w:r>
    </w:p>
    <w:p w14:paraId="76A0AFFD" w14:textId="77777777" w:rsidR="000E013A" w:rsidRPr="00D77C31" w:rsidRDefault="00D77C31" w:rsidP="00D77C31">
      <w:pPr>
        <w:pStyle w:val="ListParagraph"/>
        <w:numPr>
          <w:ilvl w:val="0"/>
          <w:numId w:val="3"/>
        </w:numPr>
        <w:spacing w:after="0"/>
        <w:rPr>
          <w:rFonts w:ascii="Arial" w:hAnsi="Arial" w:cs="Arial"/>
        </w:rPr>
      </w:pPr>
      <w:r>
        <w:rPr>
          <w:rFonts w:ascii="Arial" w:hAnsi="Arial" w:cs="Arial"/>
        </w:rPr>
        <w:t xml:space="preserve">Other </w:t>
      </w:r>
      <w:r w:rsidR="00AE37E9">
        <w:rPr>
          <w:rFonts w:ascii="Arial" w:hAnsi="Arial" w:cs="Arial"/>
        </w:rPr>
        <w:t>issue areas</w:t>
      </w:r>
      <w:r>
        <w:rPr>
          <w:rFonts w:ascii="Arial" w:hAnsi="Arial" w:cs="Arial"/>
        </w:rPr>
        <w:t xml:space="preserve"> </w:t>
      </w:r>
      <w:r w:rsidR="000E013A" w:rsidRPr="00D77C31">
        <w:rPr>
          <w:rFonts w:ascii="Arial" w:hAnsi="Arial" w:cs="Arial"/>
        </w:rPr>
        <w:t>include</w:t>
      </w:r>
      <w:r>
        <w:rPr>
          <w:rFonts w:ascii="Arial" w:hAnsi="Arial" w:cs="Arial"/>
        </w:rPr>
        <w:t>:</w:t>
      </w:r>
    </w:p>
    <w:p w14:paraId="0D8C8668" w14:textId="77777777" w:rsidR="000E013A" w:rsidRPr="00D77C31" w:rsidRDefault="000E013A" w:rsidP="00D77C31">
      <w:pPr>
        <w:pStyle w:val="ListParagraph"/>
        <w:numPr>
          <w:ilvl w:val="1"/>
          <w:numId w:val="3"/>
        </w:numPr>
        <w:spacing w:after="0"/>
        <w:rPr>
          <w:rFonts w:ascii="Arial" w:hAnsi="Arial" w:cs="Arial"/>
        </w:rPr>
      </w:pPr>
      <w:r w:rsidRPr="00D77C31">
        <w:rPr>
          <w:rFonts w:ascii="Arial" w:hAnsi="Arial" w:cs="Arial"/>
        </w:rPr>
        <w:t>Questionable Research Practices</w:t>
      </w:r>
    </w:p>
    <w:p w14:paraId="630D033E" w14:textId="77777777" w:rsidR="000E013A" w:rsidRPr="00D77C31" w:rsidRDefault="000E013A" w:rsidP="00D77C31">
      <w:pPr>
        <w:pStyle w:val="ListParagraph"/>
        <w:numPr>
          <w:ilvl w:val="1"/>
          <w:numId w:val="3"/>
        </w:numPr>
        <w:spacing w:after="0"/>
        <w:rPr>
          <w:rFonts w:ascii="Arial" w:hAnsi="Arial" w:cs="Arial"/>
        </w:rPr>
      </w:pPr>
      <w:r w:rsidRPr="00D77C31">
        <w:rPr>
          <w:rFonts w:ascii="Arial" w:hAnsi="Arial" w:cs="Arial"/>
        </w:rPr>
        <w:t>Social Responsibility of researchers</w:t>
      </w:r>
    </w:p>
    <w:p w14:paraId="05425BF6" w14:textId="77777777" w:rsidR="00745E8B" w:rsidRDefault="000E013A" w:rsidP="000E013A">
      <w:pPr>
        <w:pStyle w:val="ListParagraph"/>
        <w:numPr>
          <w:ilvl w:val="1"/>
          <w:numId w:val="3"/>
        </w:numPr>
        <w:spacing w:after="0"/>
        <w:rPr>
          <w:rFonts w:ascii="Arial" w:hAnsi="Arial" w:cs="Arial"/>
        </w:rPr>
      </w:pPr>
      <w:r w:rsidRPr="00D77C31">
        <w:rPr>
          <w:rFonts w:ascii="Arial" w:hAnsi="Arial" w:cs="Arial"/>
        </w:rPr>
        <w:t xml:space="preserve">Cross-disciplinary </w:t>
      </w:r>
      <w:r w:rsidR="00D77C31" w:rsidRPr="00D77C31">
        <w:rPr>
          <w:rFonts w:ascii="Arial" w:hAnsi="Arial" w:cs="Arial"/>
        </w:rPr>
        <w:t>Research</w:t>
      </w:r>
    </w:p>
    <w:p w14:paraId="5DCE9833" w14:textId="77777777" w:rsidR="00F86502" w:rsidRDefault="00F86502" w:rsidP="00FC613B">
      <w:pPr>
        <w:spacing w:after="0"/>
        <w:rPr>
          <w:rFonts w:ascii="Arial" w:hAnsi="Arial" w:cs="Arial"/>
          <w:b/>
          <w:u w:val="single"/>
        </w:rPr>
      </w:pPr>
    </w:p>
    <w:p w14:paraId="59B1C055" w14:textId="77777777" w:rsidR="00745E8B" w:rsidRDefault="00745E8B" w:rsidP="000E013A">
      <w:pPr>
        <w:spacing w:after="0"/>
        <w:rPr>
          <w:rFonts w:ascii="Arial" w:hAnsi="Arial" w:cs="Arial"/>
          <w:b/>
          <w:u w:val="single"/>
        </w:rPr>
      </w:pPr>
    </w:p>
    <w:sectPr w:rsidR="00745E8B" w:rsidSect="00835828">
      <w:footerReference w:type="default" r:id="rId11"/>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D1A2" w14:textId="77777777" w:rsidR="00F26665" w:rsidRDefault="00F26665" w:rsidP="00F648D9">
      <w:pPr>
        <w:spacing w:after="0" w:line="240" w:lineRule="auto"/>
      </w:pPr>
      <w:r>
        <w:separator/>
      </w:r>
    </w:p>
  </w:endnote>
  <w:endnote w:type="continuationSeparator" w:id="0">
    <w:p w14:paraId="6C664A2D" w14:textId="77777777" w:rsidR="00F26665" w:rsidRDefault="00F26665" w:rsidP="00F6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21857" w14:textId="77777777" w:rsidR="00F86502" w:rsidRDefault="00F86502">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C7675B">
      <w:fldChar w:fldCharType="begin"/>
    </w:r>
    <w:r w:rsidR="00C7675B">
      <w:instrText xml:space="preserve"> PAGE   \* MERGEFORMAT </w:instrText>
    </w:r>
    <w:r w:rsidR="00C7675B">
      <w:fldChar w:fldCharType="separate"/>
    </w:r>
    <w:r w:rsidR="00217FE5" w:rsidRPr="00217FE5">
      <w:rPr>
        <w:rFonts w:asciiTheme="majorHAnsi" w:hAnsiTheme="majorHAnsi"/>
        <w:noProof/>
      </w:rPr>
      <w:t>1</w:t>
    </w:r>
    <w:r w:rsidR="00C7675B">
      <w:rPr>
        <w:rFonts w:asciiTheme="majorHAnsi" w:hAnsiTheme="majorHAnsi"/>
        <w:noProof/>
      </w:rPr>
      <w:fldChar w:fldCharType="end"/>
    </w:r>
  </w:p>
  <w:p w14:paraId="443C766E" w14:textId="77777777" w:rsidR="00F86502" w:rsidRDefault="00F86502">
    <w:pPr>
      <w:pStyle w:val="Footer"/>
    </w:pPr>
  </w:p>
  <w:p w14:paraId="5E9835F9" w14:textId="77777777" w:rsidR="00F86502" w:rsidRDefault="00F865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F7015" w14:textId="77777777" w:rsidR="00F26665" w:rsidRDefault="00F26665" w:rsidP="00F648D9">
      <w:pPr>
        <w:spacing w:after="0" w:line="240" w:lineRule="auto"/>
      </w:pPr>
      <w:r>
        <w:separator/>
      </w:r>
    </w:p>
  </w:footnote>
  <w:footnote w:type="continuationSeparator" w:id="0">
    <w:p w14:paraId="492ECF62" w14:textId="77777777" w:rsidR="00F26665" w:rsidRDefault="00F26665" w:rsidP="00F648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735E"/>
    <w:multiLevelType w:val="hybridMultilevel"/>
    <w:tmpl w:val="47C257EE"/>
    <w:lvl w:ilvl="0" w:tplc="731ED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A1E41"/>
    <w:multiLevelType w:val="hybridMultilevel"/>
    <w:tmpl w:val="F530CF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000729"/>
    <w:multiLevelType w:val="hybridMultilevel"/>
    <w:tmpl w:val="538EDC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80345B"/>
    <w:multiLevelType w:val="hybridMultilevel"/>
    <w:tmpl w:val="A8D2F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C36A1E"/>
    <w:multiLevelType w:val="hybridMultilevel"/>
    <w:tmpl w:val="C3287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DF627B"/>
    <w:multiLevelType w:val="hybridMultilevel"/>
    <w:tmpl w:val="99A4AE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1032263"/>
    <w:multiLevelType w:val="hybridMultilevel"/>
    <w:tmpl w:val="B862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A69AB"/>
    <w:multiLevelType w:val="hybridMultilevel"/>
    <w:tmpl w:val="4F7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15D11"/>
    <w:multiLevelType w:val="hybridMultilevel"/>
    <w:tmpl w:val="3630484E"/>
    <w:lvl w:ilvl="0" w:tplc="A0FEC5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E90042"/>
    <w:multiLevelType w:val="hybridMultilevel"/>
    <w:tmpl w:val="46C2F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81EFD"/>
    <w:multiLevelType w:val="hybridMultilevel"/>
    <w:tmpl w:val="3140A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913D30"/>
    <w:multiLevelType w:val="hybridMultilevel"/>
    <w:tmpl w:val="37E01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2866154"/>
    <w:multiLevelType w:val="hybridMultilevel"/>
    <w:tmpl w:val="4970A3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905F13"/>
    <w:multiLevelType w:val="hybridMultilevel"/>
    <w:tmpl w:val="644AC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9"/>
  </w:num>
  <w:num w:numId="4">
    <w:abstractNumId w:val="2"/>
  </w:num>
  <w:num w:numId="5">
    <w:abstractNumId w:val="13"/>
  </w:num>
  <w:num w:numId="6">
    <w:abstractNumId w:val="12"/>
  </w:num>
  <w:num w:numId="7">
    <w:abstractNumId w:val="4"/>
  </w:num>
  <w:num w:numId="8">
    <w:abstractNumId w:val="3"/>
  </w:num>
  <w:num w:numId="9">
    <w:abstractNumId w:val="5"/>
  </w:num>
  <w:num w:numId="10">
    <w:abstractNumId w:val="10"/>
  </w:num>
  <w:num w:numId="11">
    <w:abstractNumId w:val="11"/>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64"/>
    <w:rsid w:val="000C3217"/>
    <w:rsid w:val="000E013A"/>
    <w:rsid w:val="00133FC9"/>
    <w:rsid w:val="001963DD"/>
    <w:rsid w:val="001B60BE"/>
    <w:rsid w:val="001E1BB1"/>
    <w:rsid w:val="00217FE5"/>
    <w:rsid w:val="002B7762"/>
    <w:rsid w:val="002E4FE4"/>
    <w:rsid w:val="003136C4"/>
    <w:rsid w:val="00315503"/>
    <w:rsid w:val="00364679"/>
    <w:rsid w:val="003B4EEA"/>
    <w:rsid w:val="003D6935"/>
    <w:rsid w:val="0040580E"/>
    <w:rsid w:val="004078AC"/>
    <w:rsid w:val="00411B3E"/>
    <w:rsid w:val="00440E4C"/>
    <w:rsid w:val="00467EB8"/>
    <w:rsid w:val="00515785"/>
    <w:rsid w:val="00586D1A"/>
    <w:rsid w:val="00594CC2"/>
    <w:rsid w:val="005B4E87"/>
    <w:rsid w:val="005C20EF"/>
    <w:rsid w:val="005E1517"/>
    <w:rsid w:val="005F481C"/>
    <w:rsid w:val="00605B2B"/>
    <w:rsid w:val="006349AB"/>
    <w:rsid w:val="00652481"/>
    <w:rsid w:val="00661372"/>
    <w:rsid w:val="006F7BEC"/>
    <w:rsid w:val="007311C6"/>
    <w:rsid w:val="00737981"/>
    <w:rsid w:val="00745E8B"/>
    <w:rsid w:val="00771BDE"/>
    <w:rsid w:val="0081034D"/>
    <w:rsid w:val="00830A33"/>
    <w:rsid w:val="00835828"/>
    <w:rsid w:val="00836187"/>
    <w:rsid w:val="008457EC"/>
    <w:rsid w:val="008950EC"/>
    <w:rsid w:val="008D465B"/>
    <w:rsid w:val="009322CC"/>
    <w:rsid w:val="009443E0"/>
    <w:rsid w:val="00945F1D"/>
    <w:rsid w:val="00961B2A"/>
    <w:rsid w:val="00987C44"/>
    <w:rsid w:val="009E19A9"/>
    <w:rsid w:val="00A33AE3"/>
    <w:rsid w:val="00A4308A"/>
    <w:rsid w:val="00A55033"/>
    <w:rsid w:val="00A62338"/>
    <w:rsid w:val="00A93091"/>
    <w:rsid w:val="00A9394F"/>
    <w:rsid w:val="00AA7912"/>
    <w:rsid w:val="00AE37E9"/>
    <w:rsid w:val="00B7579B"/>
    <w:rsid w:val="00BA4733"/>
    <w:rsid w:val="00BC1CAA"/>
    <w:rsid w:val="00C7675B"/>
    <w:rsid w:val="00C80988"/>
    <w:rsid w:val="00CF7566"/>
    <w:rsid w:val="00CF7A33"/>
    <w:rsid w:val="00D432B4"/>
    <w:rsid w:val="00D77C31"/>
    <w:rsid w:val="00E013C2"/>
    <w:rsid w:val="00E40823"/>
    <w:rsid w:val="00E60624"/>
    <w:rsid w:val="00EB2F64"/>
    <w:rsid w:val="00EC2452"/>
    <w:rsid w:val="00F26665"/>
    <w:rsid w:val="00F31FA8"/>
    <w:rsid w:val="00F37BB7"/>
    <w:rsid w:val="00F573D9"/>
    <w:rsid w:val="00F648D9"/>
    <w:rsid w:val="00F86502"/>
    <w:rsid w:val="00FA5EF4"/>
    <w:rsid w:val="00FC613B"/>
    <w:rsid w:val="00FD1544"/>
    <w:rsid w:val="00FF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9C2"/>
  <w15:docId w15:val="{6B332CF6-5928-45C2-AC0F-C14A8DF7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8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8D9"/>
  </w:style>
  <w:style w:type="paragraph" w:styleId="Footer">
    <w:name w:val="footer"/>
    <w:basedOn w:val="Normal"/>
    <w:link w:val="FooterChar"/>
    <w:uiPriority w:val="99"/>
    <w:unhideWhenUsed/>
    <w:rsid w:val="00F6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D9"/>
  </w:style>
  <w:style w:type="paragraph" w:styleId="ListParagraph">
    <w:name w:val="List Paragraph"/>
    <w:basedOn w:val="Normal"/>
    <w:uiPriority w:val="34"/>
    <w:qFormat/>
    <w:rsid w:val="00F648D9"/>
    <w:pPr>
      <w:ind w:left="720"/>
      <w:contextualSpacing/>
    </w:pPr>
  </w:style>
  <w:style w:type="character" w:styleId="Hyperlink">
    <w:name w:val="Hyperlink"/>
    <w:basedOn w:val="DefaultParagraphFont"/>
    <w:rsid w:val="003136C4"/>
    <w:rPr>
      <w:color w:val="0000FF"/>
      <w:u w:val="single"/>
    </w:rPr>
  </w:style>
  <w:style w:type="character" w:styleId="FollowedHyperlink">
    <w:name w:val="FollowedHyperlink"/>
    <w:basedOn w:val="DefaultParagraphFont"/>
    <w:uiPriority w:val="99"/>
    <w:semiHidden/>
    <w:unhideWhenUsed/>
    <w:rsid w:val="003136C4"/>
    <w:rPr>
      <w:color w:val="800080" w:themeColor="followedHyperlink"/>
      <w:u w:val="single"/>
    </w:rPr>
  </w:style>
  <w:style w:type="paragraph" w:styleId="BalloonText">
    <w:name w:val="Balloon Text"/>
    <w:basedOn w:val="Normal"/>
    <w:link w:val="BalloonTextChar"/>
    <w:uiPriority w:val="99"/>
    <w:semiHidden/>
    <w:unhideWhenUsed/>
    <w:rsid w:val="00F5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D9"/>
    <w:rPr>
      <w:rFonts w:ascii="Tahoma" w:hAnsi="Tahoma" w:cs="Tahoma"/>
      <w:sz w:val="16"/>
      <w:szCs w:val="16"/>
    </w:rPr>
  </w:style>
  <w:style w:type="character" w:styleId="Strong">
    <w:name w:val="Strong"/>
    <w:basedOn w:val="DefaultParagraphFont"/>
    <w:qFormat/>
    <w:rsid w:val="00737981"/>
    <w:rPr>
      <w:b/>
      <w:bCs/>
    </w:rPr>
  </w:style>
  <w:style w:type="paragraph" w:styleId="HTMLPreformatted">
    <w:name w:val="HTML Preformatted"/>
    <w:basedOn w:val="Normal"/>
    <w:link w:val="HTMLPreformattedChar"/>
    <w:rsid w:val="0036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6467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hs.gov/ohrp/policy/belmont.html" TargetMode="External"/><Relationship Id="rId8" Type="http://schemas.openxmlformats.org/officeDocument/2006/relationships/hyperlink" Target="http://grants1.nih.gov/grants/olaw/references/hrea1985.htm" TargetMode="External"/><Relationship Id="rId9" Type="http://schemas.openxmlformats.org/officeDocument/2006/relationships/hyperlink" Target="http://grants1.nih.gov/grants/olaw/references/phspol.htm" TargetMode="External"/><Relationship Id="rId10" Type="http://schemas.openxmlformats.org/officeDocument/2006/relationships/hyperlink" Target="http://ori.d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RSCN</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Microsoft Office User</cp:lastModifiedBy>
  <cp:revision>2</cp:revision>
  <cp:lastPrinted>2008-11-21T22:57:00Z</cp:lastPrinted>
  <dcterms:created xsi:type="dcterms:W3CDTF">2016-06-30T12:28:00Z</dcterms:created>
  <dcterms:modified xsi:type="dcterms:W3CDTF">2016-06-30T12:28:00Z</dcterms:modified>
</cp:coreProperties>
</file>